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191"/>
        <w:gridCol w:w="8164"/>
      </w:tblGrid>
      <w:tr>
        <w:tc>
          <w:tcPr>
            <w:tcW w:type="dxa" w:w="1191"/>
            <w:shd w:fill="0B2D25"/>
            <w:tcMar>
              <w:top w:w="120" w:type="dxa"/>
              <w:start w:w="80" w:type="dxa"/>
              <w:bottom w:w="90" w:type="dxa"/>
              <w:end w:w="80" w:type="dxa"/>
            </w:tcMar>
          </w:tcPr>
          <w:p>
            <w:pPr>
              <w:jc w:val="center"/>
            </w:pPr>
            <w:r>
              <w:rPr>
                <w:rFonts w:ascii="Georgia" w:hAnsi="Georgia"/>
                <w:b/>
                <w:color w:val="D5A747"/>
                <w:sz w:val="56"/>
              </w:rPr>
              <w:t>N</w:t>
            </w:r>
          </w:p>
        </w:tc>
        <w:tc>
          <w:tcPr>
            <w:tcW w:type="dxa" w:w="8164"/>
            <w:tcMar>
              <w:top w:w="120" w:type="dxa"/>
              <w:start w:w="200" w:type="dxa"/>
              <w:bottom w:w="90" w:type="dxa"/>
              <w:end w:w="80" w:type="dxa"/>
            </w:tcMar>
          </w:tcPr>
          <w:p>
            <w:pPr>
              <w:spacing w:after="20"/>
            </w:pPr>
            <w:r>
              <w:rPr>
                <w:rFonts w:ascii="Arial" w:hAnsi="Arial"/>
                <w:b/>
                <w:color w:val="0B2D25"/>
                <w:sz w:val="38"/>
              </w:rPr>
              <w:t>NexusGRO</w:t>
            </w:r>
          </w:p>
          <w:p>
            <w:r>
              <w:rPr>
                <w:rFonts w:ascii="Arial" w:hAnsi="Arial"/>
                <w:b/>
                <w:color w:val="718078"/>
                <w:sz w:val="15"/>
              </w:rPr>
              <w:t>GESTÃO E RENEGOCIAÇÃO DE ATAS DE REGISTRO DE PREÇOS</w:t>
            </w:r>
          </w:p>
        </w:tc>
      </w:tr>
    </w:tbl>
    <w:p>
      <w:pPr>
        <w:spacing w:after="960"/>
      </w:pPr>
    </w:p>
    <w:p>
      <w:pPr>
        <w:spacing w:after="260"/>
        <w:jc w:val="left"/>
      </w:pPr>
      <w:r>
        <w:rPr>
          <w:rFonts w:ascii="Georgia" w:hAnsi="Georgia"/>
          <w:b w:val="0"/>
          <w:color w:val="0B2D25"/>
          <w:sz w:val="76"/>
        </w:rPr>
        <w:t>POLÍTICA DE</w:t>
        <w:br/>
        <w:t>PRIVACIDADE</w:t>
        <w:br/>
      </w:r>
      <w:r>
        <w:rPr>
          <w:rFonts w:ascii="Georgia" w:hAnsi="Georgia"/>
          <w:i/>
          <w:color w:val="145F49"/>
          <w:sz w:val="34"/>
        </w:rPr>
        <w:t>Transparência no tratamento de dados pessoais</w:t>
      </w:r>
    </w:p>
    <w:p>
      <w:pPr>
        <w:spacing w:before="300" w:after="560" w:line="324" w:lineRule="auto"/>
      </w:pPr>
      <w:r>
        <w:rPr>
          <w:rFonts w:ascii="Arial" w:hAnsi="Arial"/>
          <w:color w:val="4B6158"/>
          <w:sz w:val="23"/>
        </w:rPr>
        <w:t>Aplicável à navegação no domínio nexusgro.com.br, ao relacionamento comercial e ao uso da plataforma web NexusGRO.</w:t>
      </w:r>
    </w:p>
    <w:tbl>
      <w:tblPr>
        <w:tblW w:type="auto" w:w="0"/>
        <w:jc w:val="left"/>
        <w:tblLook w:firstColumn="1" w:firstRow="1" w:lastColumn="0" w:lastRow="0" w:noHBand="0" w:noVBand="1" w:val="04A0"/>
      </w:tblPr>
      <w:tblGrid>
        <w:gridCol w:w="3118"/>
        <w:gridCol w:w="3118"/>
        <w:gridCol w:w="3118"/>
      </w:tblGrid>
      <w:tr>
        <w:tc>
          <w:tcPr>
            <w:tcW w:type="dxa" w:w="3118"/>
            <w:shd w:fill="EEF5F1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r>
              <w:rPr>
                <w:rFonts w:ascii="Arial" w:hAnsi="Arial"/>
                <w:b/>
                <w:color w:val="718078"/>
                <w:sz w:val="13"/>
              </w:rPr>
              <w:t>VERSÃO</w:t>
            </w:r>
          </w:p>
          <w:p>
            <w:pPr>
              <w:spacing w:after="0"/>
            </w:pPr>
            <w:r>
              <w:rPr>
                <w:rFonts w:ascii="Arial" w:hAnsi="Arial"/>
                <w:b/>
                <w:color w:val="0B2D25"/>
                <w:sz w:val="18"/>
              </w:rPr>
              <w:t>1.0</w:t>
            </w:r>
          </w:p>
        </w:tc>
        <w:tc>
          <w:tcPr>
            <w:tcW w:type="dxa" w:w="3118"/>
            <w:shd w:fill="F5E8C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r>
              <w:rPr>
                <w:rFonts w:ascii="Arial" w:hAnsi="Arial"/>
                <w:b/>
                <w:color w:val="718078"/>
                <w:sz w:val="13"/>
              </w:rPr>
              <w:t>ATUALIZAÇÃO</w:t>
            </w:r>
          </w:p>
          <w:p>
            <w:pPr>
              <w:spacing w:after="0"/>
            </w:pPr>
            <w:r>
              <w:rPr>
                <w:rFonts w:ascii="Arial" w:hAnsi="Arial"/>
                <w:b/>
                <w:color w:val="0B2D25"/>
                <w:sz w:val="18"/>
              </w:rPr>
              <w:t>18 de julho de 2026</w:t>
            </w:r>
          </w:p>
        </w:tc>
        <w:tc>
          <w:tcPr>
            <w:tcW w:type="dxa" w:w="3118"/>
            <w:shd w:fill="EEF5F1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r>
              <w:rPr>
                <w:rFonts w:ascii="Arial" w:hAnsi="Arial"/>
                <w:b/>
                <w:color w:val="718078"/>
                <w:sz w:val="13"/>
              </w:rPr>
              <w:t>CLASSIFICAÇÃO</w:t>
            </w:r>
          </w:p>
          <w:p>
            <w:pPr>
              <w:spacing w:after="0"/>
            </w:pPr>
            <w:r>
              <w:rPr>
                <w:rFonts w:ascii="Arial" w:hAnsi="Arial"/>
                <w:b/>
                <w:color w:val="0B2D25"/>
                <w:sz w:val="18"/>
              </w:rPr>
              <w:t>Documento público</w:t>
            </w:r>
          </w:p>
        </w:tc>
      </w:tr>
    </w:tbl>
    <w:p>
      <w:pPr>
        <w:spacing w:before="1280" w:after="0"/>
      </w:pPr>
      <w:r>
        <w:rPr>
          <w:rFonts w:ascii="Arial" w:hAnsi="Arial"/>
          <w:color w:val="718078"/>
          <w:sz w:val="17"/>
        </w:rPr>
        <w:t>Lei nº 13.709/2018 · Lei Geral de Proteção de Dados Pessoais</w:t>
      </w:r>
    </w:p>
    <w:p>
      <w:r>
        <w:br w:type="page"/>
      </w:r>
    </w:p>
    <w:p>
      <w:pPr>
        <w:spacing w:after="80"/>
      </w:pPr>
      <w:r>
        <w:rPr>
          <w:rFonts w:ascii="Arial" w:hAnsi="Arial"/>
          <w:b/>
          <w:color w:val="145F49"/>
          <w:sz w:val="15"/>
        </w:rPr>
        <w:t>VISÃO GERAL</w:t>
      </w:r>
    </w:p>
    <w:p>
      <w:pPr>
        <w:spacing w:after="160"/>
      </w:pPr>
      <w:r>
        <w:rPr>
          <w:rFonts w:ascii="Georgia" w:hAnsi="Georgia"/>
          <w:color w:val="0B2D25"/>
          <w:sz w:val="46"/>
        </w:rPr>
        <w:t>Como ler esta Política</w:t>
      </w:r>
    </w:p>
    <w:p>
      <w:pPr>
        <w:spacing w:after="360"/>
      </w:pPr>
      <w:r>
        <w:rPr>
          <w:rFonts w:ascii="Arial" w:hAnsi="Arial"/>
          <w:color w:val="4B6158"/>
          <w:sz w:val="21"/>
        </w:rPr>
        <w:t>Este documento apresenta as categorias de dados tratadas pelo NexusGRO, as finalidades, as bases legais, as salvaguardas e os meios disponíveis aos titulares.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677"/>
        <w:gridCol w:w="4677"/>
      </w:tblGrid>
      <w:tr>
        <w:tc>
          <w:tcPr>
            <w:tcW w:type="dxa" w:w="4677"/>
            <w:shd w:fill="EEF5F1"/>
            <w:tcMar>
              <w:top w:w="100" w:type="dxa"/>
              <w:start w:w="125" w:type="dxa"/>
              <w:bottom w:w="100" w:type="dxa"/>
              <w:end w:w="125" w:type="dxa"/>
            </w:tcMar>
          </w:tcPr>
          <w:p>
            <w:r>
              <w:rPr>
                <w:rFonts w:ascii="Arial" w:hAnsi="Arial"/>
                <w:b/>
                <w:color w:val="0B2D25"/>
                <w:sz w:val="16"/>
              </w:rPr>
              <w:t>1. Abrangência e agentes de tratamento</w:t>
            </w:r>
          </w:p>
        </w:tc>
        <w:tc>
          <w:tcPr>
            <w:tcW w:type="dxa" w:w="4677"/>
            <w:shd w:fill="F8FAF9"/>
            <w:tcMar>
              <w:top w:w="100" w:type="dxa"/>
              <w:start w:w="125" w:type="dxa"/>
              <w:bottom w:w="100" w:type="dxa"/>
              <w:end w:w="125" w:type="dxa"/>
            </w:tcMar>
          </w:tcPr>
          <w:p>
            <w:r>
              <w:rPr>
                <w:rFonts w:ascii="Arial" w:hAnsi="Arial"/>
                <w:b/>
                <w:color w:val="0B2D25"/>
                <w:sz w:val="16"/>
              </w:rPr>
              <w:t>2. Dados pessoais tratados</w:t>
            </w:r>
          </w:p>
        </w:tc>
      </w:tr>
      <w:tr>
        <w:tc>
          <w:tcPr>
            <w:tcW w:type="dxa" w:w="4677"/>
            <w:shd w:fill="F8FAF9"/>
            <w:tcMar>
              <w:top w:w="100" w:type="dxa"/>
              <w:start w:w="125" w:type="dxa"/>
              <w:bottom w:w="100" w:type="dxa"/>
              <w:end w:w="125" w:type="dxa"/>
            </w:tcMar>
          </w:tcPr>
          <w:p>
            <w:r>
              <w:rPr>
                <w:rFonts w:ascii="Arial" w:hAnsi="Arial"/>
                <w:b/>
                <w:color w:val="0B2D25"/>
                <w:sz w:val="16"/>
              </w:rPr>
              <w:t>3. Finalidades e bases legais</w:t>
            </w:r>
          </w:p>
        </w:tc>
        <w:tc>
          <w:tcPr>
            <w:tcW w:type="dxa" w:w="4677"/>
            <w:shd w:fill="EEF5F1"/>
            <w:tcMar>
              <w:top w:w="100" w:type="dxa"/>
              <w:start w:w="125" w:type="dxa"/>
              <w:bottom w:w="100" w:type="dxa"/>
              <w:end w:w="125" w:type="dxa"/>
            </w:tcMar>
          </w:tcPr>
          <w:p>
            <w:r>
              <w:rPr>
                <w:rFonts w:ascii="Arial" w:hAnsi="Arial"/>
                <w:b/>
                <w:color w:val="0B2D25"/>
                <w:sz w:val="16"/>
              </w:rPr>
              <w:t>4. Dados provenientes de fontes oficiais e públicas</w:t>
            </w:r>
          </w:p>
        </w:tc>
      </w:tr>
      <w:tr>
        <w:tc>
          <w:tcPr>
            <w:tcW w:type="dxa" w:w="4677"/>
            <w:shd w:fill="EEF5F1"/>
            <w:tcMar>
              <w:top w:w="100" w:type="dxa"/>
              <w:start w:w="125" w:type="dxa"/>
              <w:bottom w:w="100" w:type="dxa"/>
              <w:end w:w="125" w:type="dxa"/>
            </w:tcMar>
          </w:tcPr>
          <w:p>
            <w:r>
              <w:rPr>
                <w:rFonts w:ascii="Arial" w:hAnsi="Arial"/>
                <w:b/>
                <w:color w:val="0B2D25"/>
                <w:sz w:val="16"/>
              </w:rPr>
              <w:t>5. Compartilhamento e suboperadores</w:t>
            </w:r>
          </w:p>
        </w:tc>
        <w:tc>
          <w:tcPr>
            <w:tcW w:type="dxa" w:w="4677"/>
            <w:shd w:fill="F8FAF9"/>
            <w:tcMar>
              <w:top w:w="100" w:type="dxa"/>
              <w:start w:w="125" w:type="dxa"/>
              <w:bottom w:w="100" w:type="dxa"/>
              <w:end w:w="125" w:type="dxa"/>
            </w:tcMar>
          </w:tcPr>
          <w:p>
            <w:r>
              <w:rPr>
                <w:rFonts w:ascii="Arial" w:hAnsi="Arial"/>
                <w:b/>
                <w:color w:val="0B2D25"/>
                <w:sz w:val="16"/>
              </w:rPr>
              <w:t>6. Transferência internacional</w:t>
            </w:r>
          </w:p>
        </w:tc>
      </w:tr>
      <w:tr>
        <w:tc>
          <w:tcPr>
            <w:tcW w:type="dxa" w:w="4677"/>
            <w:shd w:fill="F8FAF9"/>
            <w:tcMar>
              <w:top w:w="100" w:type="dxa"/>
              <w:start w:w="125" w:type="dxa"/>
              <w:bottom w:w="100" w:type="dxa"/>
              <w:end w:w="125" w:type="dxa"/>
            </w:tcMar>
          </w:tcPr>
          <w:p>
            <w:r>
              <w:rPr>
                <w:rFonts w:ascii="Arial" w:hAnsi="Arial"/>
                <w:b/>
                <w:color w:val="0B2D25"/>
                <w:sz w:val="16"/>
              </w:rPr>
              <w:t>7. Retenção e eliminação</w:t>
            </w:r>
          </w:p>
        </w:tc>
        <w:tc>
          <w:tcPr>
            <w:tcW w:type="dxa" w:w="4677"/>
            <w:shd w:fill="EEF5F1"/>
            <w:tcMar>
              <w:top w:w="100" w:type="dxa"/>
              <w:start w:w="125" w:type="dxa"/>
              <w:bottom w:w="100" w:type="dxa"/>
              <w:end w:w="125" w:type="dxa"/>
            </w:tcMar>
          </w:tcPr>
          <w:p>
            <w:r>
              <w:rPr>
                <w:rFonts w:ascii="Arial" w:hAnsi="Arial"/>
                <w:b/>
                <w:color w:val="0B2D25"/>
                <w:sz w:val="16"/>
              </w:rPr>
              <w:t>8. Segurança e incidentes</w:t>
            </w:r>
          </w:p>
        </w:tc>
      </w:tr>
      <w:tr>
        <w:tc>
          <w:tcPr>
            <w:tcW w:type="dxa" w:w="4677"/>
            <w:shd w:fill="EEF5F1"/>
            <w:tcMar>
              <w:top w:w="100" w:type="dxa"/>
              <w:start w:w="125" w:type="dxa"/>
              <w:bottom w:w="100" w:type="dxa"/>
              <w:end w:w="125" w:type="dxa"/>
            </w:tcMar>
          </w:tcPr>
          <w:p>
            <w:r>
              <w:rPr>
                <w:rFonts w:ascii="Arial" w:hAnsi="Arial"/>
                <w:b/>
                <w:color w:val="0B2D25"/>
                <w:sz w:val="16"/>
              </w:rPr>
              <w:t>9. Cookies e tecnologias semelhantes</w:t>
            </w:r>
          </w:p>
        </w:tc>
        <w:tc>
          <w:tcPr>
            <w:tcW w:type="dxa" w:w="4677"/>
            <w:shd w:fill="F8FAF9"/>
            <w:tcMar>
              <w:top w:w="100" w:type="dxa"/>
              <w:start w:w="125" w:type="dxa"/>
              <w:bottom w:w="100" w:type="dxa"/>
              <w:end w:w="125" w:type="dxa"/>
            </w:tcMar>
          </w:tcPr>
          <w:p>
            <w:r>
              <w:rPr>
                <w:rFonts w:ascii="Arial" w:hAnsi="Arial"/>
                <w:b/>
                <w:color w:val="0B2D25"/>
                <w:sz w:val="16"/>
              </w:rPr>
              <w:t>10. Automação e revisão humana</w:t>
            </w:r>
          </w:p>
        </w:tc>
      </w:tr>
      <w:tr>
        <w:tc>
          <w:tcPr>
            <w:tcW w:type="dxa" w:w="4677"/>
            <w:shd w:fill="F8FAF9"/>
            <w:tcMar>
              <w:top w:w="100" w:type="dxa"/>
              <w:start w:w="125" w:type="dxa"/>
              <w:bottom w:w="100" w:type="dxa"/>
              <w:end w:w="125" w:type="dxa"/>
            </w:tcMar>
          </w:tcPr>
          <w:p>
            <w:r>
              <w:rPr>
                <w:rFonts w:ascii="Arial" w:hAnsi="Arial"/>
                <w:b/>
                <w:color w:val="0B2D25"/>
                <w:sz w:val="16"/>
              </w:rPr>
              <w:t>11. Direitos dos titulares</w:t>
            </w:r>
          </w:p>
        </w:tc>
        <w:tc>
          <w:tcPr>
            <w:tcW w:type="dxa" w:w="4677"/>
            <w:shd w:fill="EEF5F1"/>
            <w:tcMar>
              <w:top w:w="100" w:type="dxa"/>
              <w:start w:w="125" w:type="dxa"/>
              <w:bottom w:w="100" w:type="dxa"/>
              <w:end w:w="125" w:type="dxa"/>
            </w:tcMar>
          </w:tcPr>
          <w:p>
            <w:r>
              <w:rPr>
                <w:rFonts w:ascii="Arial" w:hAnsi="Arial"/>
                <w:b/>
                <w:color w:val="0B2D25"/>
                <w:sz w:val="16"/>
              </w:rPr>
              <w:t>12. Tratamento em nome de clientes públicos</w:t>
            </w:r>
          </w:p>
        </w:tc>
      </w:tr>
      <w:tr>
        <w:tc>
          <w:tcPr>
            <w:tcW w:type="dxa" w:w="4677"/>
            <w:shd w:fill="EEF5F1"/>
            <w:tcMar>
              <w:top w:w="100" w:type="dxa"/>
              <w:start w:w="125" w:type="dxa"/>
              <w:bottom w:w="100" w:type="dxa"/>
              <w:end w:w="125" w:type="dxa"/>
            </w:tcMar>
          </w:tcPr>
          <w:p>
            <w:r>
              <w:rPr>
                <w:rFonts w:ascii="Arial" w:hAnsi="Arial"/>
                <w:b/>
                <w:color w:val="0B2D25"/>
                <w:sz w:val="16"/>
              </w:rPr>
              <w:t>13. Alterações, legislação e contato</w:t>
            </w:r>
          </w:p>
        </w:tc>
        <w:tc>
          <w:tcPr>
            <w:tcW w:type="dxa" w:w="4677"/>
            <w:shd w:fill="FFFFFF"/>
          </w:tcPr>
          <w:p/>
        </w:tc>
      </w:tr>
    </w:tbl>
    <w:p>
      <w:pPr>
        <w:spacing w:before="340" w:after="60"/>
      </w:pPr>
      <w:r>
        <w:rPr>
          <w:rFonts w:ascii="Arial" w:hAnsi="Arial"/>
          <w:b/>
          <w:color w:val="0B2D25"/>
          <w:sz w:val="18"/>
        </w:rPr>
        <w:t>Canal de privacidade</w:t>
      </w:r>
    </w:p>
    <w:p>
      <w:r>
        <w:rPr>
          <w:rFonts w:ascii="Arial" w:hAnsi="Arial"/>
          <w:color w:val="4B6158"/>
          <w:sz w:val="19"/>
        </w:rPr>
        <w:t>Utilize o formulário disponível em nexusgro.com.br e informe “Privacidade/LGPD” no campo de mensagem.</w:t>
      </w:r>
    </w:p>
    <w:p>
      <w:r>
        <w:br w:type="page"/>
      </w:r>
    </w:p>
    <w:p>
      <w:pPr>
        <w:pStyle w:val="Heading1"/>
        <w:keepNext w:val="1"/>
      </w:pPr>
      <w:r>
        <w:t>1. Abrangência e agentes de tratamento</w:t>
      </w:r>
    </w:p>
    <w:p>
      <w:pPr>
        <w:keepLines w:val="0"/>
      </w:pPr>
      <w:r>
        <w:rPr>
          <w:rFonts w:ascii="Arial" w:hAnsi="Arial"/>
          <w:b w:val="0"/>
          <w:i w:val="0"/>
          <w:color w:val="4B6158"/>
          <w:sz w:val="20"/>
        </w:rPr>
        <w:t xml:space="preserve">Esta Política se aplica à navegação no domínio </w:t>
      </w:r>
      <w:r>
        <w:rPr>
          <w:rFonts w:ascii="Arial" w:hAnsi="Arial"/>
          <w:b/>
          <w:i w:val="0"/>
          <w:color w:val="4B6158"/>
          <w:sz w:val="20"/>
        </w:rPr>
        <w:t>nexusgro.com.br</w:t>
      </w:r>
      <w:r>
        <w:rPr>
          <w:rFonts w:ascii="Arial" w:hAnsi="Arial"/>
          <w:b w:val="0"/>
          <w:i w:val="0"/>
          <w:color w:val="4B6158"/>
          <w:sz w:val="20"/>
        </w:rPr>
        <w:t xml:space="preserve">, ao envio de solicitações pelo formulário comercial e ao uso da aplicação web disponibilizada em </w:t>
      </w:r>
      <w:r>
        <w:rPr>
          <w:rFonts w:ascii="Arial" w:hAnsi="Arial"/>
          <w:b/>
          <w:i w:val="0"/>
          <w:color w:val="4B6158"/>
          <w:sz w:val="20"/>
        </w:rPr>
        <w:t>app.nexusgro.com.br</w:t>
      </w:r>
      <w:r>
        <w:rPr>
          <w:rFonts w:ascii="Arial" w:hAnsi="Arial"/>
          <w:b w:val="0"/>
          <w:i w:val="0"/>
          <w:color w:val="4B6158"/>
          <w:sz w:val="20"/>
        </w:rPr>
        <w:t>.</w:t>
      </w:r>
    </w:p>
    <w:p>
      <w:pPr>
        <w:keepLines w:val="0"/>
      </w:pPr>
      <w:r>
        <w:rPr>
          <w:rFonts w:ascii="Arial" w:hAnsi="Arial"/>
          <w:b w:val="0"/>
          <w:i w:val="0"/>
          <w:color w:val="4B6158"/>
          <w:sz w:val="20"/>
        </w:rPr>
        <w:t xml:space="preserve">Para os dados coletados diretamente pelo site, para a administração de contas, a segurança, o relacionamento comercial e o cumprimento de obrigações próprias, o responsável pela operação do NexusGRO atua como </w:t>
      </w:r>
      <w:r>
        <w:rPr>
          <w:rFonts w:ascii="Arial" w:hAnsi="Arial"/>
          <w:b/>
          <w:i w:val="0"/>
          <w:color w:val="4B6158"/>
          <w:sz w:val="20"/>
        </w:rPr>
        <w:t>controlador</w:t>
      </w:r>
      <w:r>
        <w:rPr>
          <w:rFonts w:ascii="Arial" w:hAnsi="Arial"/>
          <w:b w:val="0"/>
          <w:i w:val="0"/>
          <w:color w:val="4B6158"/>
          <w:sz w:val="20"/>
        </w:rPr>
        <w:t>, isto é, decide sobre as finalidades e os meios essenciais do tratamento. A qualificação completa da pessoa jurídica responsável constará da proposta comercial, do contrato ou do instrumento aplicável.</w:t>
      </w:r>
    </w:p>
    <w:p>
      <w:pPr>
        <w:keepLines w:val="0"/>
      </w:pPr>
      <w:r>
        <w:rPr>
          <w:rFonts w:ascii="Arial" w:hAnsi="Arial"/>
          <w:b w:val="0"/>
          <w:i w:val="0"/>
          <w:color w:val="4B6158"/>
          <w:sz w:val="20"/>
        </w:rPr>
        <w:t xml:space="preserve">Quando o NexusGRO trata dados pessoais inseridos por um órgão, entidade ou consórcio cliente exclusivamente para executar a plataforma conforme suas instruções, o cliente tende a atuar como </w:t>
      </w:r>
      <w:r>
        <w:rPr>
          <w:rFonts w:ascii="Arial" w:hAnsi="Arial"/>
          <w:b/>
          <w:i w:val="0"/>
          <w:color w:val="4B6158"/>
          <w:sz w:val="20"/>
        </w:rPr>
        <w:t>controlador</w:t>
      </w:r>
      <w:r>
        <w:rPr>
          <w:rFonts w:ascii="Arial" w:hAnsi="Arial"/>
          <w:b w:val="0"/>
          <w:i w:val="0"/>
          <w:color w:val="4B6158"/>
          <w:sz w:val="20"/>
        </w:rPr>
        <w:t xml:space="preserve">, e o NexusGRO, como </w:t>
      </w:r>
      <w:r>
        <w:rPr>
          <w:rFonts w:ascii="Arial" w:hAnsi="Arial"/>
          <w:b/>
          <w:i w:val="0"/>
          <w:color w:val="4B6158"/>
          <w:sz w:val="20"/>
        </w:rPr>
        <w:t>operador</w:t>
      </w:r>
      <w:r>
        <w:rPr>
          <w:rFonts w:ascii="Arial" w:hAnsi="Arial"/>
          <w:b w:val="0"/>
          <w:i w:val="0"/>
          <w:color w:val="4B6158"/>
          <w:sz w:val="20"/>
        </w:rPr>
        <w:t>, sem prejuízo da análise concreta e das responsabilidades próprias de cada agente.</w:t>
      </w:r>
    </w:p>
    <w:p>
      <w:pPr>
        <w:spacing w:before="160" w:after="200"/>
        <w:ind w:left="215" w:right="215"/>
        <w:keepLines w:val="1"/>
        <w:shd w:fill="EEF5F1"/>
        <w:pBdr>
          <w:left w:val="single" w:sz="18" w:space="9" w:color="145F49"/>
        </w:pBdr>
      </w:pPr>
      <w:r>
        <w:rPr>
          <w:rFonts w:ascii="Arial" w:hAnsi="Arial"/>
          <w:b/>
          <w:i w:val="0"/>
          <w:color w:val="4B6158"/>
          <w:sz w:val="20"/>
        </w:rPr>
        <w:t>Canal de privacidade.</w:t>
      </w:r>
      <w:r>
        <w:rPr>
          <w:rFonts w:ascii="Arial" w:hAnsi="Arial"/>
          <w:b w:val="0"/>
          <w:i w:val="0"/>
          <w:color w:val="4B6158"/>
          <w:sz w:val="20"/>
        </w:rPr>
        <w:t xml:space="preserve"> Solicitações de titulares podem ser enviadas pelo formulário disponível na página inicial, com a indicação “Privacidade/LGPD” no campo de mensagem. Os clientes contratantes também poderão utilizar os canais definidos no respectivo instrumento.</w:t>
      </w:r>
    </w:p>
    <w:p>
      <w:pPr>
        <w:pStyle w:val="Heading1"/>
        <w:keepNext w:val="1"/>
      </w:pPr>
      <w:r>
        <w:t>2. Dados pessoais tratados</w:t>
      </w:r>
    </w:p>
    <w:p>
      <w:pPr>
        <w:keepLines w:val="0"/>
      </w:pPr>
      <w:r>
        <w:rPr>
          <w:rFonts w:ascii="Arial" w:hAnsi="Arial"/>
          <w:b w:val="0"/>
          <w:i w:val="0"/>
          <w:color w:val="4B6158"/>
          <w:sz w:val="20"/>
        </w:rPr>
        <w:t>De acordo com a forma de interação, poderão ser tratados:</w:t>
      </w:r>
    </w:p>
    <w:p>
      <w:pPr>
        <w:pStyle w:val="ListBullet"/>
      </w:pPr>
      <w:r>
        <w:rPr>
          <w:rFonts w:ascii="Arial" w:hAnsi="Arial"/>
          <w:b/>
          <w:i w:val="0"/>
          <w:color w:val="4B6158"/>
          <w:sz w:val="20"/>
        </w:rPr>
        <w:t>Dados de contato e identificação profissional</w:t>
      </w:r>
      <w:r>
        <w:rPr>
          <w:rFonts w:ascii="Arial" w:hAnsi="Arial"/>
          <w:b w:val="0"/>
          <w:i w:val="0"/>
          <w:color w:val="4B6158"/>
          <w:sz w:val="20"/>
        </w:rPr>
        <w:t>, como nome, órgão ou empresa, cargo, e-mail institucional, telefone e conteúdo da mensagem;</w:t>
      </w:r>
    </w:p>
    <w:p>
      <w:pPr>
        <w:pStyle w:val="ListBullet"/>
      </w:pPr>
      <w:r>
        <w:rPr>
          <w:rFonts w:ascii="Arial" w:hAnsi="Arial"/>
          <w:b/>
          <w:i w:val="0"/>
          <w:color w:val="4B6158"/>
          <w:sz w:val="20"/>
        </w:rPr>
        <w:t>Dados de conta e acesso</w:t>
      </w:r>
      <w:r>
        <w:rPr>
          <w:rFonts w:ascii="Arial" w:hAnsi="Arial"/>
          <w:b w:val="0"/>
          <w:i w:val="0"/>
          <w:color w:val="4B6158"/>
          <w:sz w:val="20"/>
        </w:rPr>
        <w:t>, como nome do usuário, e-mail, perfil, permissões, instituição vinculada e registros de autenticação;</w:t>
      </w:r>
    </w:p>
    <w:p>
      <w:pPr>
        <w:pStyle w:val="ListBullet"/>
      </w:pPr>
      <w:r>
        <w:rPr>
          <w:rFonts w:ascii="Arial" w:hAnsi="Arial"/>
          <w:b/>
          <w:i w:val="0"/>
          <w:color w:val="4B6158"/>
          <w:sz w:val="20"/>
        </w:rPr>
        <w:t>Dados operacionais</w:t>
      </w:r>
      <w:r>
        <w:rPr>
          <w:rFonts w:ascii="Arial" w:hAnsi="Arial"/>
          <w:b w:val="0"/>
          <w:i w:val="0"/>
          <w:color w:val="4B6158"/>
          <w:sz w:val="20"/>
        </w:rPr>
        <w:t>, como ações realizadas, validações, aprovações, histórico de documentos, data, hora e usuário responsável;</w:t>
      </w:r>
    </w:p>
    <w:p>
      <w:pPr>
        <w:pStyle w:val="ListBullet"/>
      </w:pPr>
      <w:r>
        <w:rPr>
          <w:rFonts w:ascii="Arial" w:hAnsi="Arial"/>
          <w:b/>
          <w:i w:val="0"/>
          <w:color w:val="4B6158"/>
          <w:sz w:val="20"/>
        </w:rPr>
        <w:t>Dados técnicos</w:t>
      </w:r>
      <w:r>
        <w:rPr>
          <w:rFonts w:ascii="Arial" w:hAnsi="Arial"/>
          <w:b w:val="0"/>
          <w:i w:val="0"/>
          <w:color w:val="4B6158"/>
          <w:sz w:val="20"/>
        </w:rPr>
        <w:t>, como endereço IP, tipo de navegador, sistema, identificadores de sessão, eventos de segurança e registros necessários ao funcionamento e à prevenção de fraude;</w:t>
      </w:r>
    </w:p>
    <w:p>
      <w:pPr>
        <w:pStyle w:val="ListBullet"/>
      </w:pPr>
      <w:r>
        <w:rPr>
          <w:rFonts w:ascii="Arial" w:hAnsi="Arial"/>
          <w:b/>
          <w:i w:val="0"/>
          <w:color w:val="4B6158"/>
          <w:sz w:val="20"/>
        </w:rPr>
        <w:t>Dados constantes de documentos e fontes públicas</w:t>
      </w:r>
      <w:r>
        <w:rPr>
          <w:rFonts w:ascii="Arial" w:hAnsi="Arial"/>
          <w:b w:val="0"/>
          <w:i w:val="0"/>
          <w:color w:val="4B6158"/>
          <w:sz w:val="20"/>
        </w:rPr>
        <w:t>, inclusive identificação e contato profissional de representantes de fornecedores, quando presentes em atas, contratos, cadastros ou publicações oficiais;</w:t>
      </w:r>
    </w:p>
    <w:p>
      <w:pPr>
        <w:pStyle w:val="ListBullet"/>
      </w:pPr>
      <w:r>
        <w:rPr>
          <w:rFonts w:ascii="Arial" w:hAnsi="Arial"/>
          <w:b/>
          <w:i w:val="0"/>
          <w:color w:val="4B6158"/>
          <w:sz w:val="20"/>
        </w:rPr>
        <w:t>Conteúdo de suporte e relacionamento</w:t>
      </w:r>
      <w:r>
        <w:rPr>
          <w:rFonts w:ascii="Arial" w:hAnsi="Arial"/>
          <w:b w:val="0"/>
          <w:i w:val="0"/>
          <w:color w:val="4B6158"/>
          <w:sz w:val="20"/>
        </w:rPr>
        <w:t>, como comunicações, dúvidas, solicitações e registros de atendimento.</w:t>
      </w:r>
    </w:p>
    <w:p>
      <w:pPr>
        <w:keepLines w:val="0"/>
      </w:pPr>
      <w:r>
        <w:rPr>
          <w:rFonts w:ascii="Arial" w:hAnsi="Arial"/>
          <w:b w:val="0"/>
          <w:i w:val="0"/>
          <w:color w:val="4B6158"/>
          <w:sz w:val="20"/>
        </w:rPr>
        <w:t>A plataforma não é desenhada para coletar dados pessoais sensíveis. O cliente deve evitar a inserção de dados excessivos e observar a necessidade, a finalidade e sua própria base legal ao carregar documentos.</w:t>
      </w:r>
    </w:p>
    <w:p>
      <w:pPr>
        <w:pStyle w:val="Heading1"/>
        <w:keepNext w:val="1"/>
      </w:pPr>
      <w:r>
        <w:t>3. Finalidades e bases legais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118"/>
        <w:gridCol w:w="3118"/>
        <w:gridCol w:w="3118"/>
      </w:tblGrid>
      <w:tr>
        <w:trPr>
          <w:cantSplit/>
          <w:tblHeader w:val="true"/>
        </w:trPr>
        <w:tc>
          <w:tcPr>
            <w:tcW w:type="dxa" w:w="2324"/>
            <w:vAlign w:val="top"/>
            <w:tcMar>
              <w:top w:w="110" w:type="dxa"/>
              <w:start w:w="115" w:type="dxa"/>
              <w:bottom w:w="110" w:type="dxa"/>
              <w:end w:w="115" w:type="dxa"/>
            </w:tcMar>
            <w:shd w:fill="0B2D25"/>
          </w:tcPr>
          <w:p>
            <w:pPr>
              <w:spacing w:after="0" w:line="259" w:lineRule="auto"/>
            </w:pPr>
            <w:r>
              <w:rPr>
                <w:rFonts w:ascii="Arial" w:hAnsi="Arial"/>
                <w:b/>
                <w:i w:val="0"/>
                <w:color w:val="FFFFFF"/>
                <w:sz w:val="14"/>
              </w:rPr>
              <w:t>Finalidade</w:t>
            </w:r>
          </w:p>
        </w:tc>
        <w:tc>
          <w:tcPr>
            <w:tcW w:type="dxa" w:w="2976"/>
            <w:vAlign w:val="top"/>
            <w:tcMar>
              <w:top w:w="110" w:type="dxa"/>
              <w:start w:w="115" w:type="dxa"/>
              <w:bottom w:w="110" w:type="dxa"/>
              <w:end w:w="115" w:type="dxa"/>
            </w:tcMar>
            <w:shd w:fill="0B2D25"/>
          </w:tcPr>
          <w:p>
            <w:pPr>
              <w:spacing w:after="0" w:line="259" w:lineRule="auto"/>
            </w:pPr>
            <w:r>
              <w:rPr>
                <w:rFonts w:ascii="Arial" w:hAnsi="Arial"/>
                <w:b/>
                <w:i w:val="0"/>
                <w:color w:val="FFFFFF"/>
                <w:sz w:val="14"/>
              </w:rPr>
              <w:t>Dados usuais</w:t>
            </w:r>
          </w:p>
        </w:tc>
        <w:tc>
          <w:tcPr>
            <w:tcW w:type="dxa" w:w="3969"/>
            <w:vAlign w:val="top"/>
            <w:tcMar>
              <w:top w:w="110" w:type="dxa"/>
              <w:start w:w="115" w:type="dxa"/>
              <w:bottom w:w="110" w:type="dxa"/>
              <w:end w:w="115" w:type="dxa"/>
            </w:tcMar>
            <w:shd w:fill="0B2D25"/>
          </w:tcPr>
          <w:p>
            <w:pPr>
              <w:spacing w:after="0" w:line="259" w:lineRule="auto"/>
            </w:pPr>
            <w:r>
              <w:rPr>
                <w:rFonts w:ascii="Arial" w:hAnsi="Arial"/>
                <w:b/>
                <w:i w:val="0"/>
                <w:color w:val="FFFFFF"/>
                <w:sz w:val="14"/>
              </w:rPr>
              <w:t>Base legal predominante</w:t>
            </w:r>
          </w:p>
        </w:tc>
      </w:tr>
      <w:tr>
        <w:trPr>
          <w:cantSplit/>
        </w:trPr>
        <w:tc>
          <w:tcPr>
            <w:tcW w:type="dxa" w:w="2324"/>
            <w:vAlign w:val="top"/>
            <w:tcMar>
              <w:top w:w="110" w:type="dxa"/>
              <w:start w:w="115" w:type="dxa"/>
              <w:bottom w:w="110" w:type="dxa"/>
              <w:end w:w="115" w:type="dxa"/>
            </w:tcMar>
          </w:tcPr>
          <w:p>
            <w:pPr>
              <w:spacing w:after="0" w:line="259" w:lineRule="auto"/>
            </w:pPr>
            <w:r>
              <w:rPr>
                <w:rFonts w:ascii="Arial" w:hAnsi="Arial"/>
                <w:b w:val="0"/>
                <w:i w:val="0"/>
                <w:color w:val="4B6158"/>
                <w:sz w:val="15"/>
              </w:rPr>
              <w:t>Responder a pedidos de proposta, demonstração ou contato</w:t>
            </w:r>
          </w:p>
        </w:tc>
        <w:tc>
          <w:tcPr>
            <w:tcW w:type="dxa" w:w="2976"/>
            <w:vAlign w:val="top"/>
            <w:tcMar>
              <w:top w:w="110" w:type="dxa"/>
              <w:start w:w="115" w:type="dxa"/>
              <w:bottom w:w="110" w:type="dxa"/>
              <w:end w:w="115" w:type="dxa"/>
            </w:tcMar>
          </w:tcPr>
          <w:p>
            <w:pPr>
              <w:spacing w:after="0" w:line="259" w:lineRule="auto"/>
            </w:pPr>
            <w:r>
              <w:rPr>
                <w:rFonts w:ascii="Arial" w:hAnsi="Arial"/>
                <w:b w:val="0"/>
                <w:i w:val="0"/>
                <w:color w:val="4B6158"/>
                <w:sz w:val="15"/>
              </w:rPr>
              <w:t>Identificação profissional, órgão, e-mail, telefone e mensagem</w:t>
            </w:r>
          </w:p>
        </w:tc>
        <w:tc>
          <w:tcPr>
            <w:tcW w:type="dxa" w:w="3969"/>
            <w:vAlign w:val="top"/>
            <w:tcMar>
              <w:top w:w="110" w:type="dxa"/>
              <w:start w:w="115" w:type="dxa"/>
              <w:bottom w:w="110" w:type="dxa"/>
              <w:end w:w="115" w:type="dxa"/>
            </w:tcMar>
          </w:tcPr>
          <w:p>
            <w:pPr>
              <w:spacing w:after="0" w:line="259" w:lineRule="auto"/>
            </w:pPr>
            <w:r>
              <w:rPr>
                <w:rFonts w:ascii="Arial" w:hAnsi="Arial"/>
                <w:b w:val="0"/>
                <w:i w:val="0"/>
                <w:color w:val="4B6158"/>
                <w:sz w:val="15"/>
              </w:rPr>
              <w:t>Procedimentos preliminares relacionados a contrato, a pedido do titular — art. 7º, V, da LGPD; e legítimo interesse, quando aplicável — arts. 7º, IX, e 10</w:t>
            </w:r>
          </w:p>
        </w:tc>
      </w:tr>
      <w:tr>
        <w:trPr>
          <w:cantSplit/>
        </w:trPr>
        <w:tc>
          <w:tcPr>
            <w:tcW w:type="dxa" w:w="2324"/>
            <w:vAlign w:val="top"/>
            <w:tcMar>
              <w:top w:w="110" w:type="dxa"/>
              <w:start w:w="115" w:type="dxa"/>
              <w:bottom w:w="110" w:type="dxa"/>
              <w:end w:w="115" w:type="dxa"/>
            </w:tcMar>
            <w:shd w:fill="F5F8F6"/>
          </w:tcPr>
          <w:p>
            <w:pPr>
              <w:spacing w:after="0" w:line="259" w:lineRule="auto"/>
            </w:pPr>
            <w:r>
              <w:rPr>
                <w:rFonts w:ascii="Arial" w:hAnsi="Arial"/>
                <w:b w:val="0"/>
                <w:i w:val="0"/>
                <w:color w:val="4B6158"/>
                <w:sz w:val="15"/>
              </w:rPr>
              <w:t>Criar, administrar e autenticar contas</w:t>
            </w:r>
          </w:p>
        </w:tc>
        <w:tc>
          <w:tcPr>
            <w:tcW w:type="dxa" w:w="2976"/>
            <w:vAlign w:val="top"/>
            <w:tcMar>
              <w:top w:w="110" w:type="dxa"/>
              <w:start w:w="115" w:type="dxa"/>
              <w:bottom w:w="110" w:type="dxa"/>
              <w:end w:w="115" w:type="dxa"/>
            </w:tcMar>
            <w:shd w:fill="F5F8F6"/>
          </w:tcPr>
          <w:p>
            <w:pPr>
              <w:spacing w:after="0" w:line="259" w:lineRule="auto"/>
            </w:pPr>
            <w:r>
              <w:rPr>
                <w:rFonts w:ascii="Arial" w:hAnsi="Arial"/>
                <w:b w:val="0"/>
                <w:i w:val="0"/>
                <w:color w:val="4B6158"/>
                <w:sz w:val="15"/>
              </w:rPr>
              <w:t>Nome, e-mail, instituição, perfil, credenciais e logs</w:t>
            </w:r>
          </w:p>
        </w:tc>
        <w:tc>
          <w:tcPr>
            <w:tcW w:type="dxa" w:w="3969"/>
            <w:vAlign w:val="top"/>
            <w:tcMar>
              <w:top w:w="110" w:type="dxa"/>
              <w:start w:w="115" w:type="dxa"/>
              <w:bottom w:w="110" w:type="dxa"/>
              <w:end w:w="115" w:type="dxa"/>
            </w:tcMar>
            <w:shd w:fill="F5F8F6"/>
          </w:tcPr>
          <w:p>
            <w:pPr>
              <w:spacing w:after="0" w:line="259" w:lineRule="auto"/>
            </w:pPr>
            <w:r>
              <w:rPr>
                <w:rFonts w:ascii="Arial" w:hAnsi="Arial"/>
                <w:b w:val="0"/>
                <w:i w:val="0"/>
                <w:color w:val="4B6158"/>
                <w:sz w:val="15"/>
              </w:rPr>
              <w:t>Execução de contrato ou de procedimentos relacionados — art. 7º, V; legítimo interesse em segurança e gestão do serviço — arts. 7º, IX, e 10</w:t>
            </w:r>
          </w:p>
        </w:tc>
      </w:tr>
      <w:tr>
        <w:trPr>
          <w:cantSplit/>
        </w:trPr>
        <w:tc>
          <w:tcPr>
            <w:tcW w:type="dxa" w:w="2324"/>
            <w:vAlign w:val="top"/>
            <w:tcMar>
              <w:top w:w="110" w:type="dxa"/>
              <w:start w:w="115" w:type="dxa"/>
              <w:bottom w:w="110" w:type="dxa"/>
              <w:end w:w="115" w:type="dxa"/>
            </w:tcMar>
          </w:tcPr>
          <w:p>
            <w:pPr>
              <w:spacing w:after="0" w:line="259" w:lineRule="auto"/>
            </w:pPr>
            <w:r>
              <w:rPr>
                <w:rFonts w:ascii="Arial" w:hAnsi="Arial"/>
                <w:b w:val="0"/>
                <w:i w:val="0"/>
                <w:color w:val="4B6158"/>
                <w:sz w:val="15"/>
              </w:rPr>
              <w:t>Processar atas, monitorar referências e gerar documentos</w:t>
            </w:r>
          </w:p>
        </w:tc>
        <w:tc>
          <w:tcPr>
            <w:tcW w:type="dxa" w:w="2976"/>
            <w:vAlign w:val="top"/>
            <w:tcMar>
              <w:top w:w="110" w:type="dxa"/>
              <w:start w:w="115" w:type="dxa"/>
              <w:bottom w:w="110" w:type="dxa"/>
              <w:end w:w="115" w:type="dxa"/>
            </w:tcMar>
          </w:tcPr>
          <w:p>
            <w:pPr>
              <w:spacing w:after="0" w:line="259" w:lineRule="auto"/>
            </w:pPr>
            <w:r>
              <w:rPr>
                <w:rFonts w:ascii="Arial" w:hAnsi="Arial"/>
                <w:b w:val="0"/>
                <w:i w:val="0"/>
                <w:color w:val="4B6158"/>
                <w:sz w:val="15"/>
              </w:rPr>
              <w:t>Dados dos documentos, fornecedores, usuários e registros operacionais</w:t>
            </w:r>
          </w:p>
        </w:tc>
        <w:tc>
          <w:tcPr>
            <w:tcW w:type="dxa" w:w="3969"/>
            <w:vAlign w:val="top"/>
            <w:tcMar>
              <w:top w:w="110" w:type="dxa"/>
              <w:start w:w="115" w:type="dxa"/>
              <w:bottom w:w="110" w:type="dxa"/>
              <w:end w:w="115" w:type="dxa"/>
            </w:tcMar>
          </w:tcPr>
          <w:p>
            <w:pPr>
              <w:spacing w:after="0" w:line="259" w:lineRule="auto"/>
            </w:pPr>
            <w:r>
              <w:rPr>
                <w:rFonts w:ascii="Arial" w:hAnsi="Arial"/>
                <w:b w:val="0"/>
                <w:i w:val="0"/>
                <w:color w:val="4B6158"/>
                <w:sz w:val="15"/>
              </w:rPr>
              <w:t>Execução contratual — art. 7º, V; cumprimento de obrigação legal ou regulatória pelo controlador público, conforme o caso — art. 7º, II; e tratamento de dados tornados manifestamente públicos, observados finalidade, boa-fé e direitos — art. 7º, § 3º</w:t>
            </w:r>
          </w:p>
        </w:tc>
      </w:tr>
      <w:tr>
        <w:trPr>
          <w:cantSplit/>
        </w:trPr>
        <w:tc>
          <w:tcPr>
            <w:tcW w:type="dxa" w:w="2324"/>
            <w:vAlign w:val="top"/>
            <w:tcMar>
              <w:top w:w="110" w:type="dxa"/>
              <w:start w:w="115" w:type="dxa"/>
              <w:bottom w:w="110" w:type="dxa"/>
              <w:end w:w="115" w:type="dxa"/>
            </w:tcMar>
            <w:shd w:fill="F5F8F6"/>
          </w:tcPr>
          <w:p>
            <w:pPr>
              <w:spacing w:after="0" w:line="259" w:lineRule="auto"/>
            </w:pPr>
            <w:r>
              <w:rPr>
                <w:rFonts w:ascii="Arial" w:hAnsi="Arial"/>
                <w:b w:val="0"/>
                <w:i w:val="0"/>
                <w:color w:val="4B6158"/>
                <w:sz w:val="15"/>
              </w:rPr>
              <w:t>Preservar trilhas, prevenir fraude e proteger a plataforma</w:t>
            </w:r>
          </w:p>
        </w:tc>
        <w:tc>
          <w:tcPr>
            <w:tcW w:type="dxa" w:w="2976"/>
            <w:vAlign w:val="top"/>
            <w:tcMar>
              <w:top w:w="110" w:type="dxa"/>
              <w:start w:w="115" w:type="dxa"/>
              <w:bottom w:w="110" w:type="dxa"/>
              <w:end w:w="115" w:type="dxa"/>
            </w:tcMar>
            <w:shd w:fill="F5F8F6"/>
          </w:tcPr>
          <w:p>
            <w:pPr>
              <w:spacing w:after="0" w:line="259" w:lineRule="auto"/>
            </w:pPr>
            <w:r>
              <w:rPr>
                <w:rFonts w:ascii="Arial" w:hAnsi="Arial"/>
                <w:b w:val="0"/>
                <w:i w:val="0"/>
                <w:color w:val="4B6158"/>
                <w:sz w:val="15"/>
              </w:rPr>
              <w:t>IP, sessão, autenticação, eventos de segurança e ações do usuário</w:t>
            </w:r>
          </w:p>
        </w:tc>
        <w:tc>
          <w:tcPr>
            <w:tcW w:type="dxa" w:w="3969"/>
            <w:vAlign w:val="top"/>
            <w:tcMar>
              <w:top w:w="110" w:type="dxa"/>
              <w:start w:w="115" w:type="dxa"/>
              <w:bottom w:w="110" w:type="dxa"/>
              <w:end w:w="115" w:type="dxa"/>
            </w:tcMar>
            <w:shd w:fill="F5F8F6"/>
          </w:tcPr>
          <w:p>
            <w:pPr>
              <w:spacing w:after="0" w:line="259" w:lineRule="auto"/>
            </w:pPr>
            <w:r>
              <w:rPr>
                <w:rFonts w:ascii="Arial" w:hAnsi="Arial"/>
                <w:b w:val="0"/>
                <w:i w:val="0"/>
                <w:color w:val="4B6158"/>
                <w:sz w:val="15"/>
              </w:rPr>
              <w:t>Legítimo interesse — arts. 7º, IX, e 10; cumprimento de obrigação legal — art. 7º, II</w:t>
            </w:r>
          </w:p>
        </w:tc>
      </w:tr>
      <w:tr>
        <w:trPr>
          <w:cantSplit/>
        </w:trPr>
        <w:tc>
          <w:tcPr>
            <w:tcW w:type="dxa" w:w="2324"/>
            <w:vAlign w:val="top"/>
            <w:tcMar>
              <w:top w:w="110" w:type="dxa"/>
              <w:start w:w="115" w:type="dxa"/>
              <w:bottom w:w="110" w:type="dxa"/>
              <w:end w:w="115" w:type="dxa"/>
            </w:tcMar>
          </w:tcPr>
          <w:p>
            <w:pPr>
              <w:spacing w:after="0" w:line="259" w:lineRule="auto"/>
            </w:pPr>
            <w:r>
              <w:rPr>
                <w:rFonts w:ascii="Arial" w:hAnsi="Arial"/>
                <w:b w:val="0"/>
                <w:i w:val="0"/>
                <w:color w:val="4B6158"/>
                <w:sz w:val="15"/>
              </w:rPr>
              <w:t>Atender direitos, auditorias, processos e obrigações</w:t>
            </w:r>
          </w:p>
        </w:tc>
        <w:tc>
          <w:tcPr>
            <w:tcW w:type="dxa" w:w="2976"/>
            <w:vAlign w:val="top"/>
            <w:tcMar>
              <w:top w:w="110" w:type="dxa"/>
              <w:start w:w="115" w:type="dxa"/>
              <w:bottom w:w="110" w:type="dxa"/>
              <w:end w:w="115" w:type="dxa"/>
            </w:tcMar>
          </w:tcPr>
          <w:p>
            <w:pPr>
              <w:spacing w:after="0" w:line="259" w:lineRule="auto"/>
            </w:pPr>
            <w:r>
              <w:rPr>
                <w:rFonts w:ascii="Arial" w:hAnsi="Arial"/>
                <w:b w:val="0"/>
                <w:i w:val="0"/>
                <w:color w:val="4B6158"/>
                <w:sz w:val="15"/>
              </w:rPr>
              <w:t>Dados necessários à solicitação ou à prova</w:t>
            </w:r>
          </w:p>
        </w:tc>
        <w:tc>
          <w:tcPr>
            <w:tcW w:type="dxa" w:w="3969"/>
            <w:vAlign w:val="top"/>
            <w:tcMar>
              <w:top w:w="110" w:type="dxa"/>
              <w:start w:w="115" w:type="dxa"/>
              <w:bottom w:w="110" w:type="dxa"/>
              <w:end w:w="115" w:type="dxa"/>
            </w:tcMar>
          </w:tcPr>
          <w:p>
            <w:pPr>
              <w:spacing w:after="0" w:line="259" w:lineRule="auto"/>
            </w:pPr>
            <w:r>
              <w:rPr>
                <w:rFonts w:ascii="Arial" w:hAnsi="Arial"/>
                <w:b w:val="0"/>
                <w:i w:val="0"/>
                <w:color w:val="4B6158"/>
                <w:sz w:val="15"/>
              </w:rPr>
              <w:t>Cumprimento de obrigação legal ou regulatória — art. 7º, II; exercício regular de direitos — art. 7º, VI</w:t>
            </w:r>
          </w:p>
        </w:tc>
      </w:tr>
      <w:tr>
        <w:trPr>
          <w:cantSplit/>
        </w:trPr>
        <w:tc>
          <w:tcPr>
            <w:tcW w:type="dxa" w:w="2324"/>
            <w:vAlign w:val="top"/>
            <w:tcMar>
              <w:top w:w="110" w:type="dxa"/>
              <w:start w:w="115" w:type="dxa"/>
              <w:bottom w:w="110" w:type="dxa"/>
              <w:end w:w="115" w:type="dxa"/>
            </w:tcMar>
            <w:shd w:fill="F5F8F6"/>
          </w:tcPr>
          <w:p>
            <w:pPr>
              <w:spacing w:after="0" w:line="259" w:lineRule="auto"/>
            </w:pPr>
            <w:r>
              <w:rPr>
                <w:rFonts w:ascii="Arial" w:hAnsi="Arial"/>
                <w:b w:val="0"/>
                <w:i w:val="0"/>
                <w:color w:val="4B6158"/>
                <w:sz w:val="15"/>
              </w:rPr>
              <w:t>Enviar comunicações institucionais relacionadas ao serviço</w:t>
            </w:r>
          </w:p>
        </w:tc>
        <w:tc>
          <w:tcPr>
            <w:tcW w:type="dxa" w:w="2976"/>
            <w:vAlign w:val="top"/>
            <w:tcMar>
              <w:top w:w="110" w:type="dxa"/>
              <w:start w:w="115" w:type="dxa"/>
              <w:bottom w:w="110" w:type="dxa"/>
              <w:end w:w="115" w:type="dxa"/>
            </w:tcMar>
            <w:shd w:fill="F5F8F6"/>
          </w:tcPr>
          <w:p>
            <w:pPr>
              <w:spacing w:after="0" w:line="259" w:lineRule="auto"/>
            </w:pPr>
            <w:r>
              <w:rPr>
                <w:rFonts w:ascii="Arial" w:hAnsi="Arial"/>
                <w:b w:val="0"/>
                <w:i w:val="0"/>
                <w:color w:val="4B6158"/>
                <w:sz w:val="15"/>
              </w:rPr>
              <w:t>Nome, e-mail e instituição</w:t>
            </w:r>
          </w:p>
        </w:tc>
        <w:tc>
          <w:tcPr>
            <w:tcW w:type="dxa" w:w="3969"/>
            <w:vAlign w:val="top"/>
            <w:tcMar>
              <w:top w:w="110" w:type="dxa"/>
              <w:start w:w="115" w:type="dxa"/>
              <w:bottom w:w="110" w:type="dxa"/>
              <w:end w:w="115" w:type="dxa"/>
            </w:tcMar>
            <w:shd w:fill="F5F8F6"/>
          </w:tcPr>
          <w:p>
            <w:pPr>
              <w:spacing w:after="0" w:line="259" w:lineRule="auto"/>
            </w:pPr>
            <w:r>
              <w:rPr>
                <w:rFonts w:ascii="Arial" w:hAnsi="Arial"/>
                <w:b w:val="0"/>
                <w:i w:val="0"/>
                <w:color w:val="4B6158"/>
                <w:sz w:val="15"/>
              </w:rPr>
              <w:t>Execução contratual e legítimo interesse, com possibilidade de oposição quando cabível</w:t>
            </w:r>
          </w:p>
        </w:tc>
      </w:tr>
    </w:tbl>
    <w:p>
      <w:pPr>
        <w:spacing w:after="40"/>
      </w:pPr>
    </w:p>
    <w:p>
      <w:pPr>
        <w:keepLines w:val="0"/>
      </w:pPr>
      <w:r>
        <w:rPr>
          <w:rFonts w:ascii="Arial" w:hAnsi="Arial"/>
          <w:b w:val="0"/>
          <w:i w:val="0"/>
          <w:color w:val="4B6158"/>
          <w:sz w:val="20"/>
        </w:rPr>
        <w:t>Se uma finalidade depender de consentimento, ele será solicitado de forma destacada e poderá ser revogado, sem afetar os tratamentos realizados anteriormente de forma legítima. O NexusGRO não utiliza o consentimento quando outra base legal mais adequada rege o tratamento.</w:t>
      </w:r>
    </w:p>
    <w:p>
      <w:pPr>
        <w:pStyle w:val="Heading1"/>
        <w:keepNext w:val="1"/>
      </w:pPr>
      <w:r>
        <w:t>4. Dados provenientes de fontes oficiais e públicas</w:t>
      </w:r>
    </w:p>
    <w:p>
      <w:pPr>
        <w:keepLines w:val="0"/>
      </w:pPr>
      <w:r>
        <w:rPr>
          <w:rFonts w:ascii="Arial" w:hAnsi="Arial"/>
          <w:b w:val="0"/>
          <w:i w:val="0"/>
          <w:color w:val="4B6158"/>
          <w:sz w:val="20"/>
        </w:rPr>
        <w:t>O serviço consulta referências e dados divulgados em fontes oficiais, como CMED/ANVISA e Portal Nacional de Contratações Públicas. O caráter público de um dado não elimina a incidência dos princípios da LGPD. Por isso, o tratamento deve permanecer vinculado às finalidades legítimas da gestão de atas, limitar-se ao necessário e respeitar o contexto em que a informação foi publicada.</w:t>
      </w:r>
    </w:p>
    <w:p>
      <w:pPr>
        <w:keepLines w:val="0"/>
      </w:pPr>
      <w:r>
        <w:rPr>
          <w:rFonts w:ascii="Arial" w:hAnsi="Arial"/>
          <w:b w:val="0"/>
          <w:i w:val="0"/>
          <w:color w:val="4B6158"/>
          <w:sz w:val="20"/>
        </w:rPr>
        <w:t>Se um titular identificar dado inexato ou descontextualizado, poderá solicitar análise. A retificação na plataforma não altera a publicação mantida pelo órgão de origem, que deverá ser contatado quando a correção também for necessária na fonte oficial.</w:t>
      </w:r>
    </w:p>
    <w:p>
      <w:pPr>
        <w:pStyle w:val="Heading1"/>
        <w:keepNext w:val="1"/>
      </w:pPr>
      <w:r>
        <w:t>5. Compartilhamento e suboperadores</w:t>
      </w:r>
    </w:p>
    <w:p>
      <w:pPr>
        <w:keepLines w:val="0"/>
      </w:pPr>
      <w:r>
        <w:rPr>
          <w:rFonts w:ascii="Arial" w:hAnsi="Arial"/>
          <w:b w:val="0"/>
          <w:i w:val="0"/>
          <w:color w:val="4B6158"/>
          <w:sz w:val="20"/>
        </w:rPr>
        <w:t>Dados pessoais poderão ser compartilhados somente na medida necessária com:</w:t>
      </w:r>
    </w:p>
    <w:p>
      <w:pPr>
        <w:pStyle w:val="ListBullet"/>
      </w:pPr>
      <w:r>
        <w:rPr>
          <w:rFonts w:ascii="Arial" w:hAnsi="Arial"/>
          <w:b w:val="0"/>
          <w:i w:val="0"/>
          <w:color w:val="4B6158"/>
          <w:sz w:val="20"/>
        </w:rPr>
        <w:t>provedores de hospedagem, armazenamento, banco de dados, envio de e-mails, autenticação, monitoramento de segurança e suporte técnico;</w:t>
      </w:r>
    </w:p>
    <w:p>
      <w:pPr>
        <w:pStyle w:val="ListBullet"/>
      </w:pPr>
      <w:r>
        <w:rPr>
          <w:rFonts w:ascii="Arial" w:hAnsi="Arial"/>
          <w:b w:val="0"/>
          <w:i w:val="0"/>
          <w:color w:val="4B6158"/>
          <w:sz w:val="20"/>
        </w:rPr>
        <w:t>clientes institucionais e usuários autorizados, de acordo com perfis de acesso e com a finalidade do contrato;</w:t>
      </w:r>
    </w:p>
    <w:p>
      <w:pPr>
        <w:pStyle w:val="ListBullet"/>
      </w:pPr>
      <w:r>
        <w:rPr>
          <w:rFonts w:ascii="Arial" w:hAnsi="Arial"/>
          <w:b w:val="0"/>
          <w:i w:val="0"/>
          <w:color w:val="4B6158"/>
          <w:sz w:val="20"/>
        </w:rPr>
        <w:t>assessores jurídicos, contábeis, auditores e seguradoras, sujeitos a deveres de confidencialidade;</w:t>
      </w:r>
    </w:p>
    <w:p>
      <w:pPr>
        <w:pStyle w:val="ListBullet"/>
      </w:pPr>
      <w:r>
        <w:rPr>
          <w:rFonts w:ascii="Arial" w:hAnsi="Arial"/>
          <w:b w:val="0"/>
          <w:i w:val="0"/>
          <w:color w:val="4B6158"/>
          <w:sz w:val="20"/>
        </w:rPr>
        <w:t>autoridades públicas, órgãos de controle e Poder Judiciário, quando houver obrigação, requisição válida ou necessidade de exercício regular de direitos;</w:t>
      </w:r>
    </w:p>
    <w:p>
      <w:pPr>
        <w:pStyle w:val="ListBullet"/>
      </w:pPr>
      <w:r>
        <w:rPr>
          <w:rFonts w:ascii="Arial" w:hAnsi="Arial"/>
          <w:b w:val="0"/>
          <w:i w:val="0"/>
          <w:color w:val="4B6158"/>
          <w:sz w:val="20"/>
        </w:rPr>
        <w:t>eventual sucessor societário, em reorganização, fusão, aquisição ou transferência de ativos, com preservação das obrigações de proteção de dados.</w:t>
      </w:r>
    </w:p>
    <w:p>
      <w:pPr>
        <w:keepLines w:val="0"/>
      </w:pPr>
      <w:r>
        <w:rPr>
          <w:rFonts w:ascii="Arial" w:hAnsi="Arial"/>
          <w:b w:val="0"/>
          <w:i w:val="0"/>
          <w:color w:val="4B6158"/>
          <w:sz w:val="20"/>
        </w:rPr>
        <w:t>O NexusGRO não vende dados pessoais e não os compartilha para publicidade comportamental de terceiros. Fornecedores que tratem dados em seu nome devem observar instruções, confidencialidade, segurança e restrição de finalidade compatíveis com o serviço.</w:t>
      </w:r>
    </w:p>
    <w:p>
      <w:pPr>
        <w:pStyle w:val="Heading1"/>
        <w:keepNext w:val="1"/>
      </w:pPr>
      <w:r>
        <w:t>6. Transferência internacional</w:t>
      </w:r>
    </w:p>
    <w:p>
      <w:pPr>
        <w:keepLines w:val="0"/>
      </w:pPr>
      <w:r>
        <w:rPr>
          <w:rFonts w:ascii="Arial" w:hAnsi="Arial"/>
          <w:b w:val="0"/>
          <w:i w:val="0"/>
          <w:color w:val="4B6158"/>
          <w:sz w:val="20"/>
        </w:rPr>
        <w:t>Alguns provedores tecnológicos podem processar ou armazenar dados fora do Brasil. Quando isso ocorrer, serão adotadas medidas compatíveis com os arts. 33 a 36 da LGPD e com a regulamentação da Autoridade Nacional de Proteção de Dados, inclusive mecanismos contratuais, avaliação do fornecedor e salvaguardas de segurança adequadas ao risco.</w:t>
      </w:r>
    </w:p>
    <w:p>
      <w:pPr>
        <w:pStyle w:val="Heading1"/>
        <w:keepNext w:val="1"/>
      </w:pPr>
      <w:r>
        <w:t>7. Retenção e eliminação</w:t>
      </w:r>
    </w:p>
    <w:p>
      <w:pPr>
        <w:keepLines w:val="0"/>
      </w:pPr>
      <w:r>
        <w:rPr>
          <w:rFonts w:ascii="Arial" w:hAnsi="Arial"/>
          <w:b w:val="0"/>
          <w:i w:val="0"/>
          <w:color w:val="4B6158"/>
          <w:sz w:val="20"/>
        </w:rPr>
        <w:t>Os dados são mantidos pelo período necessário à finalidade informada, ao cumprimento de obrigações legais, à prestação de contas, ao exercício regular de direitos e à segurança. Em regra:</w:t>
      </w:r>
    </w:p>
    <w:p>
      <w:pPr>
        <w:pStyle w:val="ListBullet"/>
      </w:pPr>
      <w:r>
        <w:rPr>
          <w:rFonts w:ascii="Arial" w:hAnsi="Arial"/>
          <w:b w:val="0"/>
          <w:i w:val="0"/>
          <w:color w:val="4B6158"/>
          <w:sz w:val="20"/>
        </w:rPr>
        <w:t>solicitações comerciais não convertidas poderão ser mantidas por até 24 meses após a última interação, salvo pedido de eliminação ou fundamento legítimo para período diferente;</w:t>
      </w:r>
    </w:p>
    <w:p>
      <w:pPr>
        <w:pStyle w:val="ListBullet"/>
      </w:pPr>
      <w:r>
        <w:rPr>
          <w:rFonts w:ascii="Arial" w:hAnsi="Arial"/>
          <w:b w:val="0"/>
          <w:i w:val="0"/>
          <w:color w:val="4B6158"/>
          <w:sz w:val="20"/>
        </w:rPr>
        <w:t>dados de conta e operação serão mantidos durante a relação contratual e, depois dela, pelos prazos necessários a obrigações e defesa de direitos;</w:t>
      </w:r>
    </w:p>
    <w:p>
      <w:pPr>
        <w:pStyle w:val="ListBullet"/>
      </w:pPr>
      <w:r>
        <w:rPr>
          <w:rFonts w:ascii="Arial" w:hAnsi="Arial"/>
          <w:b w:val="0"/>
          <w:i w:val="0"/>
          <w:color w:val="4B6158"/>
          <w:sz w:val="20"/>
        </w:rPr>
        <w:t>registros de acesso à aplicação serão conservados, sob sigilo, pelo prazo legal mínimo aplicável, sem prejuízo de retenção adicional devidamente justificada;</w:t>
      </w:r>
    </w:p>
    <w:p>
      <w:pPr>
        <w:pStyle w:val="ListBullet"/>
      </w:pPr>
      <w:r>
        <w:rPr>
          <w:rFonts w:ascii="Arial" w:hAnsi="Arial"/>
          <w:b w:val="0"/>
          <w:i w:val="0"/>
          <w:color w:val="4B6158"/>
          <w:sz w:val="20"/>
        </w:rPr>
        <w:t>cópias de segurança serão eliminadas ou sobrescritas conforme ciclos técnicos seguros;</w:t>
      </w:r>
    </w:p>
    <w:p>
      <w:pPr>
        <w:pStyle w:val="ListBullet"/>
      </w:pPr>
      <w:r>
        <w:rPr>
          <w:rFonts w:ascii="Arial" w:hAnsi="Arial"/>
          <w:b w:val="0"/>
          <w:i w:val="0"/>
          <w:color w:val="4B6158"/>
          <w:sz w:val="20"/>
        </w:rPr>
        <w:t>dados anonimizados poderão ser mantidos quando não permitirem, por meios razoáveis, a identificação do titular.</w:t>
      </w:r>
    </w:p>
    <w:p>
      <w:pPr>
        <w:keepLines w:val="0"/>
      </w:pPr>
      <w:r>
        <w:rPr>
          <w:rFonts w:ascii="Arial" w:hAnsi="Arial"/>
          <w:b w:val="0"/>
          <w:i w:val="0"/>
          <w:color w:val="4B6158"/>
          <w:sz w:val="20"/>
        </w:rPr>
        <w:t>O encerramento do contrato observará as regras de exportação, devolução, retenção e eliminação previstas no instrumento aplicável e nas instruções legítimas do cliente controlador.</w:t>
      </w:r>
    </w:p>
    <w:p>
      <w:pPr>
        <w:pStyle w:val="Heading1"/>
        <w:keepNext w:val="1"/>
      </w:pPr>
      <w:r>
        <w:t>8. Segurança e incidentes</w:t>
      </w:r>
    </w:p>
    <w:p>
      <w:pPr>
        <w:keepLines w:val="0"/>
      </w:pPr>
      <w:r>
        <w:rPr>
          <w:rFonts w:ascii="Arial" w:hAnsi="Arial"/>
          <w:b w:val="0"/>
          <w:i w:val="0"/>
          <w:color w:val="4B6158"/>
          <w:sz w:val="20"/>
        </w:rPr>
        <w:t>São adotadas medidas técnicas e administrativas proporcionais à natureza dos dados e aos riscos, incluindo controle de acesso por perfil, autenticação, segregação lógica entre clientes, registros de ações relevantes, cópias de segurança, atualização de componentes, gestão de vulnerabilidades e proteção das comunicações.</w:t>
      </w:r>
    </w:p>
    <w:p>
      <w:pPr>
        <w:keepLines w:val="0"/>
      </w:pPr>
      <w:r>
        <w:rPr>
          <w:rFonts w:ascii="Arial" w:hAnsi="Arial"/>
          <w:b w:val="0"/>
          <w:i w:val="0"/>
          <w:color w:val="4B6158"/>
          <w:sz w:val="20"/>
        </w:rPr>
        <w:t>Nenhum ambiente é absolutamente imune. Incidentes confirmados serão avaliados quanto à natureza, à extensão, aos titulares afetados e aos possíveis danos. Quando presentes os requisitos legais e regulatórios, serão realizadas as comunicações à ANPD, aos clientes controladores e aos titulares nos prazos e na forma aplicáveis.</w:t>
      </w:r>
    </w:p>
    <w:p>
      <w:pPr>
        <w:pStyle w:val="Heading1"/>
        <w:keepNext w:val="1"/>
      </w:pPr>
      <w:r>
        <w:t>9. Cookies e tecnologias semelhantes</w:t>
      </w:r>
    </w:p>
    <w:p>
      <w:pPr>
        <w:keepLines w:val="0"/>
      </w:pPr>
      <w:r>
        <w:rPr>
          <w:rFonts w:ascii="Arial" w:hAnsi="Arial"/>
          <w:b w:val="0"/>
          <w:i w:val="0"/>
          <w:color w:val="4B6158"/>
          <w:sz w:val="20"/>
        </w:rPr>
        <w:t>A landing page entregue nesta versão não utiliza cookies de publicidade comportamental. Poderão existir recursos estritamente necessários ao funcionamento, à segurança, à manutenção de sessão e ao balanceamento do serviço. O carregamento de fontes, infraestrutura e integrações técnicas pode transmitir informações como endereço IP e dados do navegador aos respectivos provedores.</w:t>
      </w:r>
    </w:p>
    <w:p>
      <w:pPr>
        <w:keepLines w:val="0"/>
      </w:pPr>
      <w:r>
        <w:rPr>
          <w:rFonts w:ascii="Arial" w:hAnsi="Arial"/>
          <w:b w:val="0"/>
          <w:i w:val="0"/>
          <w:color w:val="4B6158"/>
          <w:sz w:val="20"/>
        </w:rPr>
        <w:t>Se ferramentas opcionais de analytics, personalização ou marketing forem adicionadas, esta Política e, quando necessário, o mecanismo de preferências serão atualizados antes do uso dessas tecnologias.</w:t>
      </w:r>
    </w:p>
    <w:p>
      <w:pPr>
        <w:pStyle w:val="Heading1"/>
        <w:keepNext w:val="1"/>
      </w:pPr>
      <w:r>
        <w:t>10. Automação e revisão humana</w:t>
      </w:r>
    </w:p>
    <w:p>
      <w:pPr>
        <w:keepLines w:val="0"/>
      </w:pPr>
      <w:r>
        <w:rPr>
          <w:rFonts w:ascii="Arial" w:hAnsi="Arial"/>
          <w:b w:val="0"/>
          <w:i w:val="0"/>
          <w:color w:val="4B6158"/>
          <w:sz w:val="20"/>
        </w:rPr>
        <w:t>O NexusGRO utiliza automação para extrair informações, normalizar itens, comparar referências, sinalizar divergências e preparar minutas. Esses recursos são instrumentos de apoio e podem exigir correção.</w:t>
      </w:r>
    </w:p>
    <w:p>
      <w:pPr>
        <w:keepLines w:val="0"/>
      </w:pPr>
      <w:r>
        <w:rPr>
          <w:rFonts w:ascii="Arial" w:hAnsi="Arial"/>
          <w:b w:val="0"/>
          <w:i w:val="0"/>
          <w:color w:val="4B6158"/>
          <w:sz w:val="20"/>
        </w:rPr>
        <w:t>A plataforma não foi desenhada para adotar, por si só, decisão administrativa ou produzir efeito jurídico contra fornecedor ou titular. Correspondências duvidosas, alertas, minutas e providências devem ser validados por usuário autorizado. Se houver tratamento que se enquadre como decisão tomada unicamente com base em processamento automatizado e que afete interesses do titular, será assegurado o direito de solicitar revisão e informações sobre os critérios e procedimentos, observados os segredos comercial e industrial, nos termos do art. 20 da LGPD.</w:t>
      </w:r>
    </w:p>
    <w:p>
      <w:pPr>
        <w:pStyle w:val="Heading1"/>
        <w:keepNext w:val="1"/>
      </w:pPr>
      <w:r>
        <w:t>11. Direitos dos titulares</w:t>
      </w:r>
    </w:p>
    <w:p>
      <w:pPr>
        <w:keepLines w:val="0"/>
      </w:pPr>
      <w:r>
        <w:rPr>
          <w:rFonts w:ascii="Arial" w:hAnsi="Arial"/>
          <w:b w:val="0"/>
          <w:i w:val="0"/>
          <w:color w:val="4B6158"/>
          <w:sz w:val="20"/>
        </w:rPr>
        <w:t>Nos termos dos arts. 18 e seguintes da LGPD, o titular poderá, conforme o caso, solicitar confirmação do tratamento, acesso, correção, anonimização, bloqueio ou eliminação de dados desnecessários ou tratados em desconformidade, portabilidade na forma regulamentada, informação sobre compartilhamentos, revogação do consentimento, oposição e revisão de decisões automatizadas.</w:t>
      </w:r>
    </w:p>
    <w:p>
      <w:pPr>
        <w:keepLines w:val="0"/>
      </w:pPr>
      <w:r>
        <w:rPr>
          <w:rFonts w:ascii="Arial" w:hAnsi="Arial"/>
          <w:b w:val="0"/>
          <w:i w:val="0"/>
          <w:color w:val="4B6158"/>
          <w:sz w:val="20"/>
        </w:rPr>
        <w:t>O pedido deverá permitir a identificação segura do solicitante e especificar a providência desejada. Poderão ser solicitadas informações adicionais para prevenir fraude. Alguns pedidos poderão ser limitados quando a retenção ou o tratamento forem necessários ao cumprimento de obrigação, ao exercício de direitos, à segurança ou a outra hipótese legal, hipótese em que a justificativa será apresentada.</w:t>
      </w:r>
    </w:p>
    <w:p>
      <w:pPr>
        <w:keepLines w:val="0"/>
      </w:pPr>
      <w:r>
        <w:rPr>
          <w:rFonts w:ascii="Arial" w:hAnsi="Arial"/>
          <w:b w:val="0"/>
          <w:i w:val="0"/>
          <w:color w:val="4B6158"/>
          <w:sz w:val="20"/>
        </w:rPr>
        <w:t>Quando o dado for tratado sob instruções de um cliente institucional que atua como controlador, o NexusGRO poderá encaminhar o pedido ao cliente ou auxiliá-lo na resposta, conforme o contrato e a natureza da solicitação.</w:t>
      </w:r>
    </w:p>
    <w:p>
      <w:pPr>
        <w:pStyle w:val="Heading1"/>
        <w:keepNext w:val="1"/>
      </w:pPr>
      <w:r>
        <w:t>12. Tratamento em nome de clientes públicos</w:t>
      </w:r>
    </w:p>
    <w:p>
      <w:pPr>
        <w:keepLines w:val="0"/>
      </w:pPr>
      <w:r>
        <w:rPr>
          <w:rFonts w:ascii="Arial" w:hAnsi="Arial"/>
          <w:b w:val="0"/>
          <w:i w:val="0"/>
          <w:color w:val="4B6158"/>
          <w:sz w:val="20"/>
        </w:rPr>
        <w:t>Órgãos, entidades e consórcios públicos que utilizem o NexusGRO devem definir a finalidade e a base legal de seus tratamentos, limitar os usuários autorizados, manter os dados atualizados, fornecer transparência aos titulares quando exigível e observar as regras próprias do Poder Público.</w:t>
      </w:r>
    </w:p>
    <w:p>
      <w:pPr>
        <w:keepLines w:val="0"/>
      </w:pPr>
      <w:r>
        <w:rPr>
          <w:rFonts w:ascii="Arial" w:hAnsi="Arial"/>
          <w:b w:val="0"/>
          <w:i w:val="0"/>
          <w:color w:val="4B6158"/>
          <w:sz w:val="20"/>
        </w:rPr>
        <w:t>O NexusGRO trata os dados inseridos no ambiente do cliente de acordo com o contrato, as instruções documentadas e as medidas de segurança acordadas, ressalvadas as operações em que tenha obrigação legal própria ou atue como controlador independente. O contrato poderá detalhar matriz de responsabilidades, suboperadores, atendimento a titulares, incidentes, auditoria, devolução e eliminação.</w:t>
      </w:r>
    </w:p>
    <w:p>
      <w:pPr>
        <w:pStyle w:val="Heading1"/>
        <w:keepNext w:val="1"/>
      </w:pPr>
      <w:r>
        <w:t>13. Alterações, legislação e contato</w:t>
      </w:r>
    </w:p>
    <w:p>
      <w:pPr>
        <w:keepLines w:val="0"/>
      </w:pPr>
      <w:r>
        <w:rPr>
          <w:rFonts w:ascii="Arial" w:hAnsi="Arial"/>
          <w:b w:val="0"/>
          <w:i w:val="0"/>
          <w:color w:val="4B6158"/>
          <w:sz w:val="20"/>
        </w:rPr>
        <w:t>Esta Política poderá ser atualizada para refletir mudanças no serviço, na arquitetura tecnológica, nos fornecedores ou na legislação. A versão vigente ficará disponível nesta página, com indicação da data. Mudanças relevantes poderão ser comunicadas pelos canais disponíveis.</w:t>
      </w:r>
    </w:p>
    <w:p>
      <w:pPr>
        <w:keepLines w:val="0"/>
      </w:pPr>
      <w:r>
        <w:rPr>
          <w:rFonts w:ascii="Arial" w:hAnsi="Arial"/>
          <w:b w:val="0"/>
          <w:i w:val="0"/>
          <w:color w:val="4B6158"/>
          <w:sz w:val="20"/>
        </w:rPr>
        <w:t>Esta Política é regida pela legislação brasileira, especialmente a Lei nº 13.709/2018, a Lei nº 12.965/2014 e sua regulamentação, sem prejuízo das normas aplicáveis à Administração Pública e aos contratos celebrados.</w:t>
      </w:r>
    </w:p>
    <w:p>
      <w:pPr>
        <w:spacing w:before="160" w:after="200"/>
        <w:ind w:left="215" w:right="215"/>
        <w:keepLines w:val="1"/>
        <w:shd w:fill="EEF5F1"/>
        <w:pBdr>
          <w:left w:val="single" w:sz="18" w:space="9" w:color="145F49"/>
        </w:pBdr>
      </w:pPr>
      <w:r>
        <w:rPr>
          <w:rFonts w:ascii="Arial" w:hAnsi="Arial"/>
          <w:b/>
          <w:i w:val="0"/>
          <w:color w:val="4B6158"/>
          <w:sz w:val="20"/>
        </w:rPr>
        <w:t>Como exercer um direito.</w:t>
      </w:r>
      <w:r>
        <w:rPr>
          <w:rFonts w:ascii="Arial" w:hAnsi="Arial"/>
          <w:b w:val="0"/>
          <w:i w:val="0"/>
          <w:color w:val="4B6158"/>
          <w:sz w:val="20"/>
        </w:rPr>
        <w:t xml:space="preserve"> Acesse a </w:t>
      </w:r>
      <w:hyperlink r:id="rId11">
        <w:r>
          <w:rPr>
            <w:color w:val="145F49"/>
            <w:u w:val="single"/>
            <w:rFonts w:ascii="Arial" w:hAnsi="Arial"/>
            <w:sz w:val="20"/>
          </w:rPr>
          <w:t>página de contato</w:t>
        </w:r>
      </w:hyperlink>
      <w:r>
        <w:rPr>
          <w:rFonts w:ascii="Arial" w:hAnsi="Arial"/>
          <w:b w:val="0"/>
          <w:i w:val="0"/>
          <w:color w:val="4B6158"/>
          <w:sz w:val="20"/>
        </w:rPr>
        <w:t>, informe “Privacidade/LGPD” no campo de mensagem e descreva objetivamente a solicitação. O recebimento será confirmado e a resposta observará os prazos legais aplicáveis.</w:t>
      </w:r>
    </w:p>
    <w:p>
      <w:pPr>
        <w:pStyle w:val="Heading1"/>
      </w:pPr>
      <w:r>
        <w:t>Referências normativas e institucionais</w:t>
      </w:r>
    </w:p>
    <w:p>
      <w:pPr>
        <w:pStyle w:val="ListBullet"/>
      </w:pPr>
      <w:hyperlink r:id="rId12">
        <w:r>
          <w:rPr>
            <w:color w:val="145F49"/>
            <w:u w:val="single"/>
            <w:rFonts w:ascii="Arial" w:hAnsi="Arial"/>
            <w:sz w:val="20"/>
          </w:rPr>
          <w:t>Lei nº 13.709/2018 — Lei Geral de Proteção de Dados Pessoais</w:t>
        </w:r>
      </w:hyperlink>
    </w:p>
    <w:p>
      <w:pPr>
        <w:pStyle w:val="ListBullet"/>
      </w:pPr>
      <w:hyperlink r:id="rId13">
        <w:r>
          <w:rPr>
            <w:color w:val="145F49"/>
            <w:u w:val="single"/>
            <w:rFonts w:ascii="Arial" w:hAnsi="Arial"/>
            <w:sz w:val="20"/>
          </w:rPr>
          <w:t>Lei nº 12.965/2014 — Marco Civil da Internet</w:t>
        </w:r>
      </w:hyperlink>
    </w:p>
    <w:p>
      <w:pPr>
        <w:pStyle w:val="ListBullet"/>
      </w:pPr>
      <w:hyperlink r:id="rId14">
        <w:r>
          <w:rPr>
            <w:color w:val="145F49"/>
            <w:u w:val="single"/>
            <w:rFonts w:ascii="Arial" w:hAnsi="Arial"/>
            <w:sz w:val="20"/>
          </w:rPr>
          <w:t>ANPD — Guia orientativo sobre agentes de tratamento e encarregado</w:t>
        </w:r>
      </w:hyperlink>
    </w:p>
    <w:p>
      <w:pPr>
        <w:pStyle w:val="ListBullet"/>
      </w:pPr>
      <w:hyperlink r:id="rId15">
        <w:r>
          <w:rPr>
            <w:color w:val="145F49"/>
            <w:u w:val="single"/>
            <w:rFonts w:ascii="Arial" w:hAnsi="Arial"/>
            <w:sz w:val="20"/>
          </w:rPr>
          <w:t>ANPD — Comunicação de incidentes de segurança</w:t>
        </w:r>
      </w:hyperlink>
    </w:p>
    <w:p>
      <w:pPr>
        <w:pStyle w:val="ListBullet"/>
      </w:pPr>
      <w:hyperlink r:id="rId16">
        <w:r>
          <w:rPr>
            <w:color w:val="145F49"/>
            <w:u w:val="single"/>
            <w:rFonts w:ascii="Arial" w:hAnsi="Arial"/>
            <w:sz w:val="20"/>
          </w:rPr>
          <w:t>ANVISA/CMED — Listas de preços de medicamentos</w:t>
        </w:r>
      </w:hyperlink>
    </w:p>
    <w:tbl>
      <w:tblPr>
        <w:tblW w:type="auto" w:w="0"/>
        <w:tblLook w:firstColumn="1" w:firstRow="1" w:lastColumn="0" w:lastRow="0" w:noHBand="0" w:noVBand="1" w:val="04A0"/>
      </w:tblPr>
      <w:tblGrid>
        <w:gridCol w:w="9354"/>
      </w:tblGrid>
      <w:tr>
        <w:tc>
          <w:tcPr>
            <w:tcW w:type="dxa" w:w="9354"/>
            <w:shd w:fill="0B2D25"/>
            <w:tcMar>
              <w:top w:w="170" w:type="dxa"/>
              <w:start w:w="190" w:type="dxa"/>
              <w:bottom w:w="170" w:type="dxa"/>
              <w:end w:w="190" w:type="dxa"/>
            </w:tcMar>
          </w:tcPr>
          <w:p>
            <w:r>
              <w:rPr>
                <w:rFonts w:ascii="Arial" w:hAnsi="Arial"/>
                <w:b/>
                <w:color w:val="FFFFFF"/>
                <w:sz w:val="18"/>
              </w:rPr>
              <w:t>NexusGRO  ·  Política de Privacidade  ·  Versão 1.0</w:t>
            </w:r>
          </w:p>
          <w:p>
            <w:r>
              <w:rPr>
                <w:rFonts w:ascii="Arial" w:hAnsi="Arial"/>
                <w:color w:val="C7D8D0"/>
                <w:sz w:val="16"/>
              </w:rPr>
              <w:t>Atualizada em 18 de julho de 2026 · nexusgro.com.br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1020" w:right="1276" w:bottom="992" w:left="1276" w:header="425" w:footer="397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auto" w:w="0"/>
      <w:jc w:val="center"/>
      <w:tblLook w:firstColumn="1" w:firstRow="1" w:lastColumn="0" w:lastRow="0" w:noHBand="0" w:noVBand="1" w:val="04A0"/>
    </w:tblPr>
    <w:tblGrid>
      <w:gridCol w:w="7087"/>
      <w:gridCol w:w="2551"/>
    </w:tblGrid>
    <w:tr>
      <w:tc>
        <w:tcPr>
          <w:tcW w:type="dxa" w:w="4819"/>
          <w:tcMar>
            <w:top w:w="80" w:type="dxa"/>
            <w:start w:w="0" w:type="dxa"/>
            <w:bottom w:w="0" w:type="dxa"/>
            <w:end w:w="0" w:type="dxa"/>
          </w:tcMar>
        </w:tcPr>
        <w:p>
          <w:r>
            <w:rPr>
              <w:rFonts w:ascii="Arial" w:hAnsi="Arial"/>
              <w:color w:val="718078"/>
              <w:sz w:val="15"/>
            </w:rPr>
            <w:t>nexusgro.com.br  ·  Documento público</w:t>
          </w:r>
        </w:p>
      </w:tc>
      <w:tc>
        <w:tcPr>
          <w:tcW w:type="dxa" w:w="4819"/>
          <w:tcMar>
            <w:top w:w="80" w:type="dxa"/>
            <w:start w:w="0" w:type="dxa"/>
            <w:bottom w:w="0" w:type="dxa"/>
            <w:end w:w="0" w:type="dxa"/>
          </w:tcMar>
        </w:tcPr>
        <w:p>
          <w:pPr>
            <w:jc w:val="right"/>
          </w:pPr>
          <w:r>
            <w:rPr>
              <w:rFonts w:ascii="Arial" w:hAnsi="Arial"/>
              <w:color w:val="718078"/>
              <w:sz w:val="15"/>
            </w:rPr>
            <w:t xml:space="preserve">Página </w:t>
          </w:r>
          <w:r>
            <w:fldChar w:fldCharType="begin"/>
            <w:instrText xml:space="preserve">PAGE</w:instrText>
            <w:fldChar w:fldCharType="separate"/>
            <w:fldChar w:fldCharType="end"/>
          </w:r>
          <w:r>
            <w:rPr>
              <w:rFonts w:ascii="Arial" w:hAnsi="Arial"/>
              <w:color w:val="718078"/>
              <w:sz w:val="15"/>
            </w:rPr>
            <w:t xml:space="preserve"> de </w:t>
          </w:r>
          <w:r>
            <w:fldChar w:fldCharType="begin"/>
            <w:instrText xml:space="preserve">NUMPAGES</w:instrText>
            <w:fldChar w:fldCharType="separate"/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jc w:val="center"/>
      <w:tblLook w:firstColumn="1" w:firstRow="1" w:lastColumn="0" w:lastRow="0" w:noHBand="0" w:noVBand="1" w:val="04A0"/>
    </w:tblPr>
    <w:tblGrid>
      <w:gridCol w:w="4819"/>
      <w:gridCol w:w="4819"/>
    </w:tblGrid>
    <w:tr>
      <w:tc>
        <w:tcPr>
          <w:tcW w:type="dxa" w:w="4819"/>
          <w:tcMar>
            <w:top w:w="0" w:type="dxa"/>
            <w:start w:w="0" w:type="dxa"/>
            <w:bottom w:w="80" w:type="dxa"/>
            <w:end w:w="0" w:type="dxa"/>
          </w:tcMar>
          <w:tcBorders>
            <w:bottom w:val="single" w:sz="4" w:color="DCE4DF"/>
          </w:tcBorders>
        </w:tcPr>
        <w:p>
          <w:pPr>
            <w:jc w:val="left"/>
          </w:pPr>
          <w:r>
            <w:rPr>
              <w:rFonts w:ascii="Arial" w:hAnsi="Arial"/>
              <w:b/>
              <w:color w:val="0B2D25"/>
              <w:sz w:val="16"/>
            </w:rPr>
            <w:t>NEXUSGRO</w:t>
          </w:r>
        </w:p>
      </w:tc>
      <w:tc>
        <w:tcPr>
          <w:tcW w:type="dxa" w:w="4819"/>
          <w:tcMar>
            <w:top w:w="0" w:type="dxa"/>
            <w:start w:w="0" w:type="dxa"/>
            <w:bottom w:w="80" w:type="dxa"/>
            <w:end w:w="0" w:type="dxa"/>
          </w:tcMar>
          <w:tcBorders>
            <w:bottom w:val="single" w:sz="4" w:color="DCE4DF"/>
          </w:tcBorders>
        </w:tcPr>
        <w:p>
          <w:pPr>
            <w:jc w:val="right"/>
          </w:pPr>
          <w:r>
            <w:rPr>
              <w:rFonts w:ascii="Arial" w:hAnsi="Arial"/>
              <w:b/>
              <w:color w:val="718078"/>
              <w:sz w:val="15"/>
            </w:rPr>
            <w:t>POLÍTICA DE PRIVACIDADE · VERSÃO 1.0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83" w:lineRule="auto"/>
    </w:pPr>
    <w:rPr>
      <w:rFonts w:ascii="Arial" w:hAnsi="Arial"/>
      <w:color w:val="4B6158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60" w:after="180"/>
      <w:outlineLvl w:val="0"/>
    </w:pPr>
    <w:rPr>
      <w:rFonts w:asciiTheme="majorHAnsi" w:eastAsiaTheme="majorEastAsia" w:hAnsiTheme="majorHAnsi" w:cstheme="majorBidi" w:ascii="Georgia" w:hAnsi="Georgia"/>
      <w:b w:val="0"/>
      <w:bCs/>
      <w:color w:val="0B2D25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100"/>
      <w:outlineLvl w:val="1"/>
    </w:pPr>
    <w:rPr>
      <w:rFonts w:asciiTheme="majorHAnsi" w:eastAsiaTheme="majorEastAsia" w:hAnsiTheme="majorHAnsi" w:cstheme="majorBidi" w:ascii="Arial" w:hAnsi="Arial"/>
      <w:b/>
      <w:bCs/>
      <w:color w:val="0B2D25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100"/>
      <w:ind w:left="312" w:hanging="142"/>
      <w:contextualSpacing/>
    </w:pPr>
    <w:rPr>
      <w:rFonts w:ascii="Arial" w:hAnsi="Arial"/>
      <w:color w:val="4B6158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yperlink" Target="index.html#contato" TargetMode="External"/><Relationship Id="rId12" Type="http://schemas.openxmlformats.org/officeDocument/2006/relationships/hyperlink" Target="https://www.planalto.gov.br/ccivil_03/_ato2015-2018/2018/lei/l13709compilado.htm" TargetMode="External"/><Relationship Id="rId13" Type="http://schemas.openxmlformats.org/officeDocument/2006/relationships/hyperlink" Target="https://www.planalto.gov.br/ccivil_03/_ato2011-2014/2014/lei/l12965.htm" TargetMode="External"/><Relationship Id="rId14" Type="http://schemas.openxmlformats.org/officeDocument/2006/relationships/hyperlink" Target="https://www.gov.br/anpd/pt-br/centrais-de-conteudo/materiais-educativos-e-publicacoes/guia-orientativo-para-definicoes-dos-agentes-de-tratamento-de-dados-pessoais-e-do-encarregado" TargetMode="External"/><Relationship Id="rId15" Type="http://schemas.openxmlformats.org/officeDocument/2006/relationships/hyperlink" Target="https://www.gov.br/anpd/pt-br/assuntos/comunicacao-de-incidentes-de-seguranca-cis" TargetMode="External"/><Relationship Id="rId16" Type="http://schemas.openxmlformats.org/officeDocument/2006/relationships/hyperlink" Target="https://www.gov.br/anvisa/pt-br/assuntos/medicamentos/cmed/preco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Política de Privacidade — NexusGRO</dc:title>
  <dc:subject>Tratamento de dados pessoais no site e na plataforma NexusGRO</dc:subject>
  <dc:creator>NexusGRO</dc:creator>
  <cp:keywords>NexusGRO, privacidade, LGPD, proteção de dados</cp:keywords>
  <dc:description>Versão pública 1.0 — 18 de julho de 2026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